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41E" w:rsidRDefault="004F241E" w:rsidP="004F241E">
      <w:pPr>
        <w:spacing w:line="288" w:lineRule="auto"/>
        <w:ind w:left="1440" w:hanging="696"/>
        <w:jc w:val="right"/>
        <w:rPr>
          <w:rFonts w:ascii="Tahoma" w:hAnsi="Tahoma" w:cs="Tahoma"/>
          <w:szCs w:val="20"/>
          <w:u w:val="single"/>
        </w:rPr>
      </w:pPr>
    </w:p>
    <w:p w:rsidR="00276D37" w:rsidRPr="00276D37" w:rsidRDefault="00276D37" w:rsidP="00276D37">
      <w:pPr>
        <w:widowControl w:val="0"/>
        <w:tabs>
          <w:tab w:val="left" w:pos="7646"/>
        </w:tabs>
        <w:autoSpaceDE w:val="0"/>
        <w:autoSpaceDN w:val="0"/>
        <w:adjustRightInd w:val="0"/>
        <w:spacing w:line="288" w:lineRule="auto"/>
        <w:ind w:left="720" w:right="126"/>
        <w:jc w:val="center"/>
        <w:rPr>
          <w:b/>
          <w:sz w:val="32"/>
          <w:szCs w:val="32"/>
        </w:rPr>
      </w:pPr>
      <w:r w:rsidRPr="00276D37">
        <w:rPr>
          <w:b/>
          <w:sz w:val="32"/>
          <w:szCs w:val="32"/>
        </w:rPr>
        <w:t>MASTER CAPACITY RELEASE AGREEMENT</w:t>
      </w:r>
    </w:p>
    <w:p w:rsidR="00276D37" w:rsidRDefault="00276D37" w:rsidP="00276D37">
      <w:pPr>
        <w:widowControl w:val="0"/>
        <w:tabs>
          <w:tab w:val="left" w:pos="7646"/>
        </w:tabs>
        <w:autoSpaceDE w:val="0"/>
        <w:autoSpaceDN w:val="0"/>
        <w:adjustRightInd w:val="0"/>
        <w:spacing w:line="288" w:lineRule="auto"/>
        <w:ind w:left="720" w:right="126"/>
        <w:jc w:val="center"/>
        <w:rPr>
          <w:rFonts w:ascii="Tahoma" w:hAnsi="Tahoma" w:cs="Tahoma"/>
          <w:b/>
          <w:sz w:val="24"/>
          <w:szCs w:val="20"/>
        </w:rPr>
      </w:pPr>
    </w:p>
    <w:p w:rsidR="008D5341" w:rsidRPr="008D5341" w:rsidRDefault="008D5341" w:rsidP="008D5341">
      <w:pPr>
        <w:widowControl w:val="0"/>
        <w:kinsoku w:val="0"/>
        <w:spacing w:line="276" w:lineRule="auto"/>
        <w:jc w:val="both"/>
        <w:rPr>
          <w:sz w:val="22"/>
          <w:szCs w:val="22"/>
        </w:rPr>
      </w:pPr>
      <w:r w:rsidRPr="008D5341">
        <w:rPr>
          <w:sz w:val="22"/>
          <w:szCs w:val="22"/>
        </w:rPr>
        <w:t>This Mast</w:t>
      </w:r>
      <w:r>
        <w:rPr>
          <w:sz w:val="22"/>
          <w:szCs w:val="22"/>
        </w:rPr>
        <w:t>er Capacity Release Agreement (“MCR Agreement”</w:t>
      </w:r>
      <w:r w:rsidRPr="008D5341">
        <w:rPr>
          <w:sz w:val="22"/>
          <w:szCs w:val="22"/>
        </w:rPr>
        <w:t xml:space="preserve">) is made and entered into </w:t>
      </w:r>
      <w:r w:rsidRPr="008D5341">
        <w:rPr>
          <w:sz w:val="22"/>
          <w:szCs w:val="22"/>
          <w:u w:val="single"/>
        </w:rPr>
        <w:t>_[date]___________</w:t>
      </w:r>
      <w:r w:rsidRPr="008D5341">
        <w:rPr>
          <w:color w:val="000000"/>
          <w:sz w:val="22"/>
          <w:szCs w:val="22"/>
        </w:rPr>
        <w:fldChar w:fldCharType="begin"/>
      </w:r>
      <w:r w:rsidRPr="008D5341">
        <w:rPr>
          <w:color w:val="000000"/>
          <w:sz w:val="22"/>
          <w:szCs w:val="22"/>
        </w:rPr>
        <w:instrText xml:space="preserve"> DOCVARIABLE  CTRCT_TERM_BEG_DT  \* MERGEFORMAT </w:instrText>
      </w:r>
      <w:r w:rsidRPr="008D5341">
        <w:rPr>
          <w:color w:val="000000"/>
          <w:sz w:val="22"/>
          <w:szCs w:val="22"/>
        </w:rPr>
        <w:fldChar w:fldCharType="end"/>
      </w:r>
      <w:r w:rsidRPr="008D5341">
        <w:rPr>
          <w:sz w:val="22"/>
          <w:szCs w:val="22"/>
        </w:rPr>
        <w:t xml:space="preserve">, by and between </w:t>
      </w:r>
      <w:r>
        <w:rPr>
          <w:sz w:val="22"/>
          <w:szCs w:val="22"/>
        </w:rPr>
        <w:t>Rockies Express Pipeline LLC</w:t>
      </w:r>
      <w:r w:rsidRPr="008D5341">
        <w:rPr>
          <w:sz w:val="22"/>
          <w:szCs w:val="22"/>
        </w:rPr>
        <w:t>, (“Transporter”), an interstate pipeline company, and_________________, (“Replacement Shipper”), a(n) _______________</w:t>
      </w:r>
      <w:r w:rsidRPr="008D5341">
        <w:rPr>
          <w:color w:val="000000"/>
          <w:sz w:val="22"/>
          <w:szCs w:val="22"/>
        </w:rPr>
        <w:fldChar w:fldCharType="begin"/>
      </w:r>
      <w:r w:rsidRPr="008D5341">
        <w:rPr>
          <w:color w:val="000000"/>
          <w:sz w:val="22"/>
          <w:szCs w:val="22"/>
        </w:rPr>
        <w:instrText xml:space="preserve"> DOCVARIABLE  SHIPPER_ENT_TYPE </w:instrText>
      </w:r>
      <w:r w:rsidRPr="008D5341">
        <w:rPr>
          <w:color w:val="000000"/>
          <w:sz w:val="22"/>
          <w:szCs w:val="22"/>
        </w:rPr>
        <w:fldChar w:fldCharType="end"/>
      </w:r>
      <w:r w:rsidRPr="008D5341">
        <w:rPr>
          <w:sz w:val="22"/>
          <w:szCs w:val="22"/>
        </w:rPr>
        <w:t>. The purpose of this MCR Agreement is to put in place a binding master agreement that will apply to capacity releases on Transporter’s pipeline system which may be awarded to Replacement Shipper. In consideration of the premises and mutual covenants contained herein, Transporter and Replacement Shipper (together referred to as the “Parties”) agree as follows:</w:t>
      </w:r>
    </w:p>
    <w:p w:rsidR="00276D37" w:rsidRPr="00430A27" w:rsidRDefault="00276D37" w:rsidP="00276D37">
      <w:pPr>
        <w:widowControl w:val="0"/>
        <w:kinsoku w:val="0"/>
        <w:spacing w:line="288" w:lineRule="auto"/>
        <w:ind w:left="270" w:firstLine="648"/>
        <w:jc w:val="both"/>
        <w:rPr>
          <w:sz w:val="22"/>
          <w:szCs w:val="22"/>
        </w:rPr>
      </w:pPr>
    </w:p>
    <w:p w:rsidR="00276D37" w:rsidRPr="00430A27" w:rsidRDefault="00276D37" w:rsidP="00276D37">
      <w:pPr>
        <w:pStyle w:val="ListParagraph"/>
        <w:widowControl w:val="0"/>
        <w:numPr>
          <w:ilvl w:val="0"/>
          <w:numId w:val="2"/>
        </w:numPr>
        <w:tabs>
          <w:tab w:val="num" w:pos="1440"/>
        </w:tabs>
        <w:kinsoku w:val="0"/>
        <w:spacing w:line="276" w:lineRule="auto"/>
        <w:ind w:left="1440" w:hanging="360"/>
        <w:jc w:val="both"/>
        <w:rPr>
          <w:sz w:val="22"/>
          <w:szCs w:val="22"/>
        </w:rPr>
      </w:pPr>
      <w:r w:rsidRPr="00430A27">
        <w:rPr>
          <w:sz w:val="22"/>
          <w:szCs w:val="22"/>
        </w:rPr>
        <w:t>With respect to any services provided by Transporter to Replacement Shipper pursuant to a permanent capacity release under the capacity release provisions of Transporter’s Federal Energy Regulatory Commission Gas Tariff, as it may change from</w:t>
      </w:r>
      <w:r w:rsidR="008D5341">
        <w:rPr>
          <w:sz w:val="22"/>
          <w:szCs w:val="22"/>
        </w:rPr>
        <w:t xml:space="preserve"> time to </w:t>
      </w:r>
      <w:r w:rsidRPr="00430A27">
        <w:rPr>
          <w:sz w:val="22"/>
          <w:szCs w:val="22"/>
        </w:rPr>
        <w:t xml:space="preserve">time (“Tariff”), Transporter and Replacement Shipper shall execute a service agreement consistent with the applicable form of service agreement set forth in the Tariff. </w:t>
      </w:r>
    </w:p>
    <w:p w:rsidR="00276D37" w:rsidRPr="00430A27" w:rsidRDefault="00276D37" w:rsidP="00276D37">
      <w:pPr>
        <w:pStyle w:val="ListParagraph"/>
        <w:widowControl w:val="0"/>
        <w:kinsoku w:val="0"/>
        <w:spacing w:line="288" w:lineRule="auto"/>
        <w:ind w:left="648"/>
        <w:jc w:val="both"/>
        <w:rPr>
          <w:sz w:val="22"/>
          <w:szCs w:val="22"/>
        </w:rPr>
      </w:pPr>
    </w:p>
    <w:p w:rsidR="00276D37" w:rsidRPr="00430A27" w:rsidRDefault="00276D37" w:rsidP="00276D37">
      <w:pPr>
        <w:pStyle w:val="ListParagraph"/>
        <w:widowControl w:val="0"/>
        <w:numPr>
          <w:ilvl w:val="0"/>
          <w:numId w:val="2"/>
        </w:numPr>
        <w:tabs>
          <w:tab w:val="num" w:pos="1440"/>
        </w:tabs>
        <w:kinsoku w:val="0"/>
        <w:spacing w:line="276" w:lineRule="auto"/>
        <w:ind w:left="1440" w:hanging="360"/>
        <w:jc w:val="both"/>
        <w:rPr>
          <w:sz w:val="22"/>
          <w:szCs w:val="22"/>
        </w:rPr>
      </w:pPr>
      <w:r w:rsidRPr="00430A27">
        <w:rPr>
          <w:sz w:val="22"/>
          <w:szCs w:val="22"/>
        </w:rPr>
        <w:t xml:space="preserve">With respect to any services provided by Transporter to Replacement Shipper pursuant to a non-permanent capacity release under the capacity release provisions of the Tariff, by execution of this MCR Agreement the Parties are hereby agreeing to be bound to the provisions of the applicable Form of Service Agreement of Transporter’s Tariff as if it had been separately executed, and to also be bound to the provisions set forth in any bid and electronic confirmation of a capacity release awarded to Replacement Shipper. Such Tariff provisions, Form of Service Agreement, bid terms (including rates, quantities, points of delivery and receipt, and term) and electronic confirmation provisions shall be incorporated herein, and made a part hereof, and shall be given effect as creating legally binding obligations and enforceable rights for both Parties. </w:t>
      </w:r>
    </w:p>
    <w:p w:rsidR="00276D37" w:rsidRPr="00430A27" w:rsidRDefault="00276D37" w:rsidP="00276D37">
      <w:pPr>
        <w:pStyle w:val="ListParagraph"/>
        <w:spacing w:line="288" w:lineRule="auto"/>
        <w:rPr>
          <w:sz w:val="22"/>
          <w:szCs w:val="22"/>
        </w:rPr>
      </w:pPr>
    </w:p>
    <w:p w:rsidR="00276D37" w:rsidRPr="00430A27" w:rsidRDefault="00276D37" w:rsidP="00276D37">
      <w:pPr>
        <w:pStyle w:val="ListParagraph"/>
        <w:widowControl w:val="0"/>
        <w:numPr>
          <w:ilvl w:val="0"/>
          <w:numId w:val="2"/>
        </w:numPr>
        <w:tabs>
          <w:tab w:val="num" w:pos="1440"/>
        </w:tabs>
        <w:kinsoku w:val="0"/>
        <w:spacing w:line="276" w:lineRule="auto"/>
        <w:ind w:left="1440" w:hanging="360"/>
        <w:jc w:val="both"/>
        <w:rPr>
          <w:sz w:val="22"/>
          <w:szCs w:val="22"/>
        </w:rPr>
      </w:pPr>
      <w:r w:rsidRPr="00430A27">
        <w:rPr>
          <w:sz w:val="22"/>
          <w:szCs w:val="22"/>
        </w:rPr>
        <w:t>Each capacity release award confirmation sent by Transporter to Replacement Shipper shall be considered a separate service provided under a separate service agreement consisting of the provisions set forth in the applicable Tariff Form of Service Agreement, along with the specific terms of the particular bid and electronic confirmation of capacity release awarded to Replacement Shipper. It is intent of the Parties that the terms and conditions of any capacity release services provided under this MCR Agreement shall be in conformance with the form of applicable service agreements set forth in the Tariff.</w:t>
      </w:r>
    </w:p>
    <w:p w:rsidR="00276D37" w:rsidRPr="00430A27" w:rsidRDefault="00276D37" w:rsidP="00276D37">
      <w:pPr>
        <w:pStyle w:val="ListParagraph"/>
        <w:spacing w:line="288" w:lineRule="auto"/>
        <w:rPr>
          <w:sz w:val="22"/>
          <w:szCs w:val="22"/>
        </w:rPr>
      </w:pPr>
    </w:p>
    <w:p w:rsidR="00276D37" w:rsidRPr="00430A27" w:rsidRDefault="00276D37" w:rsidP="00276D37">
      <w:pPr>
        <w:pStyle w:val="ListParagraph"/>
        <w:widowControl w:val="0"/>
        <w:numPr>
          <w:ilvl w:val="0"/>
          <w:numId w:val="2"/>
        </w:numPr>
        <w:tabs>
          <w:tab w:val="num" w:pos="1440"/>
        </w:tabs>
        <w:kinsoku w:val="0"/>
        <w:spacing w:line="276" w:lineRule="auto"/>
        <w:ind w:left="1440" w:hanging="360"/>
        <w:jc w:val="both"/>
        <w:rPr>
          <w:sz w:val="22"/>
          <w:szCs w:val="22"/>
        </w:rPr>
      </w:pPr>
      <w:r w:rsidRPr="00430A27">
        <w:rPr>
          <w:sz w:val="22"/>
          <w:szCs w:val="22"/>
        </w:rPr>
        <w:t>Replacement Shipper must have, and must maintain, creditworthiness under the provisions of the Tariff to qualify as a bidder or pre-arranged Replacement Shipper for each and every capacity release transaction, and to receive confirmation for each and every firm service provided to Replacement Shipper. Capacity received by Replacement Shipper pursuant to different capacity releases as reflected in different confirmation awards shall not be aggregated under one service agreement, unless Transporter expressly agrees in writing.</w:t>
      </w:r>
    </w:p>
    <w:p w:rsidR="00276D37" w:rsidRPr="00430A27" w:rsidRDefault="00276D37" w:rsidP="00276D37">
      <w:pPr>
        <w:pStyle w:val="ListParagraph"/>
        <w:spacing w:line="288" w:lineRule="auto"/>
        <w:rPr>
          <w:sz w:val="22"/>
          <w:szCs w:val="22"/>
        </w:rPr>
      </w:pPr>
    </w:p>
    <w:p w:rsidR="00276D37" w:rsidRPr="00430A27" w:rsidRDefault="00276D37" w:rsidP="00276D37">
      <w:pPr>
        <w:pStyle w:val="ListParagraph"/>
        <w:widowControl w:val="0"/>
        <w:numPr>
          <w:ilvl w:val="0"/>
          <w:numId w:val="2"/>
        </w:numPr>
        <w:tabs>
          <w:tab w:val="left" w:pos="1440"/>
        </w:tabs>
        <w:kinsoku w:val="0"/>
        <w:spacing w:line="276" w:lineRule="auto"/>
        <w:ind w:left="1440" w:hanging="360"/>
        <w:jc w:val="both"/>
        <w:rPr>
          <w:sz w:val="22"/>
          <w:szCs w:val="22"/>
        </w:rPr>
      </w:pPr>
      <w:r w:rsidRPr="00430A27">
        <w:rPr>
          <w:sz w:val="22"/>
          <w:szCs w:val="22"/>
        </w:rPr>
        <w:lastRenderedPageBreak/>
        <w:t>By signing this MCR Agreement, Replacement Shipper represents, acknowledges and agrees that:</w:t>
      </w:r>
    </w:p>
    <w:p w:rsidR="00276D37" w:rsidRPr="00430A27" w:rsidRDefault="00276D37" w:rsidP="00276D37">
      <w:pPr>
        <w:pStyle w:val="ListParagraph"/>
        <w:spacing w:line="288" w:lineRule="auto"/>
        <w:rPr>
          <w:sz w:val="22"/>
          <w:szCs w:val="22"/>
        </w:rPr>
      </w:pPr>
    </w:p>
    <w:p w:rsidR="00276D37" w:rsidRPr="00430A27" w:rsidRDefault="00276D37" w:rsidP="00276D37">
      <w:pPr>
        <w:widowControl w:val="0"/>
        <w:kinsoku w:val="0"/>
        <w:spacing w:line="276" w:lineRule="auto"/>
        <w:ind w:left="2880" w:hanging="720"/>
        <w:jc w:val="both"/>
        <w:rPr>
          <w:sz w:val="22"/>
          <w:szCs w:val="22"/>
        </w:rPr>
      </w:pPr>
      <w:r w:rsidRPr="00430A27">
        <w:rPr>
          <w:sz w:val="22"/>
          <w:szCs w:val="22"/>
        </w:rPr>
        <w:t xml:space="preserve">a) </w:t>
      </w:r>
      <w:r w:rsidRPr="00430A27">
        <w:rPr>
          <w:sz w:val="22"/>
          <w:szCs w:val="22"/>
        </w:rPr>
        <w:tab/>
        <w:t>Replacement Shipper is qualified to receive service from Transporter under the provisions of Transporter’s Tariff.</w:t>
      </w:r>
    </w:p>
    <w:p w:rsidR="00276D37" w:rsidRPr="00430A27" w:rsidRDefault="00276D37" w:rsidP="00276D37">
      <w:pPr>
        <w:widowControl w:val="0"/>
        <w:kinsoku w:val="0"/>
        <w:spacing w:line="288" w:lineRule="auto"/>
        <w:ind w:left="2880" w:hanging="720"/>
        <w:jc w:val="both"/>
        <w:rPr>
          <w:sz w:val="22"/>
          <w:szCs w:val="22"/>
        </w:rPr>
      </w:pPr>
    </w:p>
    <w:p w:rsidR="00276D37" w:rsidRPr="00430A27" w:rsidRDefault="00276D37" w:rsidP="00276D37">
      <w:pPr>
        <w:widowControl w:val="0"/>
        <w:kinsoku w:val="0"/>
        <w:spacing w:line="276" w:lineRule="auto"/>
        <w:ind w:left="2880" w:hanging="720"/>
        <w:jc w:val="both"/>
        <w:rPr>
          <w:sz w:val="22"/>
          <w:szCs w:val="22"/>
        </w:rPr>
      </w:pPr>
      <w:r w:rsidRPr="00430A27">
        <w:rPr>
          <w:sz w:val="22"/>
          <w:szCs w:val="22"/>
        </w:rPr>
        <w:t xml:space="preserve">b) </w:t>
      </w:r>
      <w:r w:rsidRPr="00430A27">
        <w:rPr>
          <w:sz w:val="22"/>
          <w:szCs w:val="22"/>
        </w:rPr>
        <w:tab/>
        <w:t>Replacement Shipper shall comply with the provisions of Transporter’s Tariff, including those provisions related to capacity release.</w:t>
      </w:r>
    </w:p>
    <w:p w:rsidR="00276D37" w:rsidRPr="00430A27" w:rsidRDefault="00276D37" w:rsidP="00276D37">
      <w:pPr>
        <w:widowControl w:val="0"/>
        <w:kinsoku w:val="0"/>
        <w:spacing w:line="288" w:lineRule="auto"/>
        <w:ind w:left="2880" w:hanging="720"/>
        <w:jc w:val="both"/>
        <w:rPr>
          <w:sz w:val="22"/>
          <w:szCs w:val="22"/>
        </w:rPr>
      </w:pPr>
    </w:p>
    <w:p w:rsidR="00276D37" w:rsidRPr="00430A27" w:rsidRDefault="00276D37" w:rsidP="00276D37">
      <w:pPr>
        <w:widowControl w:val="0"/>
        <w:kinsoku w:val="0"/>
        <w:spacing w:line="276" w:lineRule="auto"/>
        <w:ind w:left="2880" w:hanging="720"/>
        <w:jc w:val="both"/>
        <w:rPr>
          <w:sz w:val="22"/>
          <w:szCs w:val="22"/>
        </w:rPr>
      </w:pPr>
      <w:r w:rsidRPr="00430A27">
        <w:rPr>
          <w:sz w:val="22"/>
          <w:szCs w:val="22"/>
        </w:rPr>
        <w:t xml:space="preserve">c) </w:t>
      </w:r>
      <w:r w:rsidRPr="00430A27">
        <w:rPr>
          <w:sz w:val="22"/>
          <w:szCs w:val="22"/>
        </w:rPr>
        <w:tab/>
        <w:t xml:space="preserve">Replacement Shipper's capacity rights shall equal the releasing shipper’s capacity rights that are awarded to Replacement Shipper pursuant to </w:t>
      </w:r>
      <w:r w:rsidR="009E7711">
        <w:rPr>
          <w:sz w:val="22"/>
          <w:szCs w:val="22"/>
        </w:rPr>
        <w:t xml:space="preserve">the </w:t>
      </w:r>
      <w:r w:rsidR="00615E1E">
        <w:rPr>
          <w:sz w:val="22"/>
          <w:szCs w:val="22"/>
        </w:rPr>
        <w:t>offer</w:t>
      </w:r>
      <w:bookmarkStart w:id="0" w:name="_GoBack"/>
      <w:bookmarkEnd w:id="0"/>
      <w:r w:rsidR="009E7711">
        <w:rPr>
          <w:sz w:val="22"/>
          <w:szCs w:val="22"/>
        </w:rPr>
        <w:t xml:space="preserve"> terms and </w:t>
      </w:r>
      <w:r w:rsidRPr="00430A27">
        <w:rPr>
          <w:sz w:val="22"/>
          <w:szCs w:val="22"/>
        </w:rPr>
        <w:t xml:space="preserve">Transporter's Tariff. </w:t>
      </w:r>
      <w:r w:rsidR="009E7711">
        <w:rPr>
          <w:sz w:val="22"/>
          <w:szCs w:val="22"/>
        </w:rPr>
        <w:t xml:space="preserve"> </w:t>
      </w:r>
      <w:r w:rsidRPr="00430A27">
        <w:rPr>
          <w:sz w:val="22"/>
          <w:szCs w:val="22"/>
        </w:rPr>
        <w:t>In no event shall Replacement Shipper's capacity rights be greater than the releasing shipper's rights in such capacity immediately prior to their release to Replacement Shipper.</w:t>
      </w:r>
    </w:p>
    <w:p w:rsidR="00276D37" w:rsidRPr="00430A27" w:rsidRDefault="00276D37" w:rsidP="00276D37">
      <w:pPr>
        <w:widowControl w:val="0"/>
        <w:kinsoku w:val="0"/>
        <w:spacing w:line="288" w:lineRule="auto"/>
        <w:ind w:left="1440"/>
        <w:jc w:val="both"/>
        <w:rPr>
          <w:sz w:val="22"/>
          <w:szCs w:val="22"/>
        </w:rPr>
      </w:pPr>
    </w:p>
    <w:p w:rsidR="00276D37" w:rsidRPr="00430A27" w:rsidRDefault="00276D37" w:rsidP="00276D37">
      <w:pPr>
        <w:pStyle w:val="ListParagraph"/>
        <w:widowControl w:val="0"/>
        <w:numPr>
          <w:ilvl w:val="0"/>
          <w:numId w:val="2"/>
        </w:numPr>
        <w:tabs>
          <w:tab w:val="num" w:pos="1440"/>
        </w:tabs>
        <w:kinsoku w:val="0"/>
        <w:spacing w:line="276" w:lineRule="auto"/>
        <w:ind w:left="1440" w:hanging="360"/>
        <w:jc w:val="both"/>
        <w:rPr>
          <w:sz w:val="22"/>
          <w:szCs w:val="22"/>
        </w:rPr>
      </w:pPr>
      <w:r w:rsidRPr="00430A27">
        <w:rPr>
          <w:sz w:val="22"/>
          <w:szCs w:val="22"/>
        </w:rPr>
        <w:t xml:space="preserve">Replacement Shipper's addresses for correspondence, statements, invoices, and accounting matters shall be as stated in Replacement Shipper's prearranged bid or winning Qualified Bid, </w:t>
      </w:r>
      <w:r w:rsidR="00E646A1">
        <w:rPr>
          <w:sz w:val="22"/>
          <w:szCs w:val="22"/>
        </w:rPr>
        <w:t>and such address(</w:t>
      </w:r>
      <w:proofErr w:type="spellStart"/>
      <w:r w:rsidR="00E646A1">
        <w:rPr>
          <w:sz w:val="22"/>
          <w:szCs w:val="22"/>
        </w:rPr>
        <w:t>es</w:t>
      </w:r>
      <w:proofErr w:type="spellEnd"/>
      <w:r w:rsidR="00E646A1">
        <w:rPr>
          <w:sz w:val="22"/>
          <w:szCs w:val="22"/>
        </w:rPr>
        <w:t>)</w:t>
      </w:r>
      <w:r w:rsidR="00E646A1" w:rsidRPr="00430A27">
        <w:rPr>
          <w:sz w:val="22"/>
          <w:szCs w:val="22"/>
        </w:rPr>
        <w:t xml:space="preserve"> </w:t>
      </w:r>
      <w:r w:rsidRPr="00430A27">
        <w:rPr>
          <w:sz w:val="22"/>
          <w:szCs w:val="22"/>
        </w:rPr>
        <w:t>may be changed by Replacement Shipper by written notice (including electronic) to Transporter. Transporter's addresses shall be as follows, which may be changed by Transporter by written notice (including electronic) to Replacement Shipper:</w:t>
      </w:r>
    </w:p>
    <w:p w:rsidR="00276D37" w:rsidRPr="00430A27" w:rsidRDefault="00276D37" w:rsidP="00276D37">
      <w:pPr>
        <w:widowControl w:val="0"/>
        <w:kinsoku w:val="0"/>
        <w:spacing w:line="288" w:lineRule="auto"/>
        <w:ind w:left="1440"/>
        <w:jc w:val="both"/>
        <w:rPr>
          <w:sz w:val="22"/>
          <w:szCs w:val="22"/>
          <w:u w:val="single"/>
        </w:rPr>
      </w:pPr>
    </w:p>
    <w:p w:rsidR="00276D37" w:rsidRPr="00430A27" w:rsidRDefault="00276D37" w:rsidP="00276D37">
      <w:pPr>
        <w:widowControl w:val="0"/>
        <w:kinsoku w:val="0"/>
        <w:spacing w:line="288" w:lineRule="auto"/>
        <w:ind w:left="1440"/>
        <w:jc w:val="both"/>
        <w:rPr>
          <w:sz w:val="22"/>
          <w:szCs w:val="22"/>
          <w:u w:val="single"/>
        </w:rPr>
      </w:pPr>
      <w:r w:rsidRPr="00430A27">
        <w:rPr>
          <w:sz w:val="22"/>
          <w:szCs w:val="22"/>
          <w:u w:val="single"/>
        </w:rPr>
        <w:t>General Correspondence:</w:t>
      </w:r>
    </w:p>
    <w:p w:rsidR="00276D37" w:rsidRPr="00430A27" w:rsidRDefault="008D5341" w:rsidP="00276D37">
      <w:pPr>
        <w:widowControl w:val="0"/>
        <w:kinsoku w:val="0"/>
        <w:spacing w:line="288" w:lineRule="auto"/>
        <w:ind w:left="1440" w:right="80"/>
        <w:jc w:val="both"/>
        <w:rPr>
          <w:color w:val="000000"/>
          <w:sz w:val="22"/>
          <w:szCs w:val="22"/>
        </w:rPr>
      </w:pPr>
      <w:r>
        <w:rPr>
          <w:sz w:val="22"/>
          <w:szCs w:val="22"/>
        </w:rPr>
        <w:t>Rockies Express Pipeline</w:t>
      </w:r>
      <w:r w:rsidR="00276D37" w:rsidRPr="00430A27">
        <w:rPr>
          <w:sz w:val="22"/>
          <w:szCs w:val="22"/>
        </w:rPr>
        <w:t xml:space="preserve"> LLC</w:t>
      </w:r>
      <w:r w:rsidR="00276D37" w:rsidRPr="00430A27">
        <w:rPr>
          <w:color w:val="000000"/>
          <w:sz w:val="22"/>
          <w:szCs w:val="22"/>
        </w:rPr>
        <w:t xml:space="preserve"> </w:t>
      </w:r>
    </w:p>
    <w:p w:rsidR="00276D37" w:rsidRPr="00430A27" w:rsidRDefault="00276D37" w:rsidP="00276D37">
      <w:pPr>
        <w:widowControl w:val="0"/>
        <w:kinsoku w:val="0"/>
        <w:spacing w:line="288" w:lineRule="auto"/>
        <w:ind w:left="1440" w:right="80"/>
        <w:jc w:val="both"/>
        <w:rPr>
          <w:sz w:val="22"/>
          <w:szCs w:val="22"/>
        </w:rPr>
      </w:pPr>
      <w:r w:rsidRPr="00430A27">
        <w:rPr>
          <w:sz w:val="22"/>
          <w:szCs w:val="22"/>
        </w:rPr>
        <w:t>Attention: Commercial Operations</w:t>
      </w:r>
    </w:p>
    <w:p w:rsidR="00276D37" w:rsidRPr="00430A27" w:rsidRDefault="00276D37" w:rsidP="00276D37">
      <w:pPr>
        <w:widowControl w:val="0"/>
        <w:kinsoku w:val="0"/>
        <w:spacing w:line="288" w:lineRule="auto"/>
        <w:ind w:left="1440" w:right="80"/>
        <w:jc w:val="both"/>
        <w:rPr>
          <w:sz w:val="22"/>
          <w:szCs w:val="22"/>
        </w:rPr>
      </w:pPr>
      <w:r w:rsidRPr="00430A27">
        <w:rPr>
          <w:sz w:val="22"/>
          <w:szCs w:val="22"/>
        </w:rPr>
        <w:t>370 Van Gordon Street</w:t>
      </w:r>
    </w:p>
    <w:p w:rsidR="00276D37" w:rsidRPr="00430A27" w:rsidRDefault="00276D37" w:rsidP="00276D37">
      <w:pPr>
        <w:widowControl w:val="0"/>
        <w:kinsoku w:val="0"/>
        <w:spacing w:line="288" w:lineRule="auto"/>
        <w:ind w:left="1440" w:right="80"/>
        <w:jc w:val="both"/>
        <w:rPr>
          <w:sz w:val="22"/>
          <w:szCs w:val="22"/>
        </w:rPr>
      </w:pPr>
      <w:r w:rsidRPr="00430A27">
        <w:rPr>
          <w:sz w:val="22"/>
          <w:szCs w:val="22"/>
        </w:rPr>
        <w:t>Lakewood, Colorado 80228</w:t>
      </w:r>
    </w:p>
    <w:p w:rsidR="00276D37" w:rsidRPr="00430A27" w:rsidRDefault="008D5341" w:rsidP="00276D37">
      <w:pPr>
        <w:widowControl w:val="0"/>
        <w:kinsoku w:val="0"/>
        <w:spacing w:line="288" w:lineRule="auto"/>
        <w:ind w:left="1440" w:right="80"/>
        <w:jc w:val="both"/>
        <w:rPr>
          <w:sz w:val="22"/>
          <w:szCs w:val="22"/>
        </w:rPr>
      </w:pPr>
      <w:r>
        <w:rPr>
          <w:sz w:val="22"/>
          <w:szCs w:val="22"/>
        </w:rPr>
        <w:t>e-mail:  REX</w:t>
      </w:r>
      <w:r w:rsidR="00276D37" w:rsidRPr="00430A27">
        <w:rPr>
          <w:sz w:val="22"/>
          <w:szCs w:val="22"/>
        </w:rPr>
        <w:t>@tallgrassenergylp.com</w:t>
      </w:r>
    </w:p>
    <w:p w:rsidR="00276D37" w:rsidRPr="00430A27" w:rsidRDefault="00276D37" w:rsidP="00276D37">
      <w:pPr>
        <w:widowControl w:val="0"/>
        <w:kinsoku w:val="0"/>
        <w:spacing w:line="288" w:lineRule="auto"/>
        <w:ind w:left="1296"/>
        <w:jc w:val="both"/>
        <w:rPr>
          <w:sz w:val="22"/>
          <w:szCs w:val="22"/>
        </w:rPr>
      </w:pPr>
    </w:p>
    <w:p w:rsidR="00276D37" w:rsidRPr="00430A27" w:rsidRDefault="00276D37" w:rsidP="00276D37">
      <w:pPr>
        <w:widowControl w:val="0"/>
        <w:kinsoku w:val="0"/>
        <w:spacing w:line="288" w:lineRule="auto"/>
        <w:ind w:left="1440" w:right="440"/>
        <w:jc w:val="both"/>
        <w:rPr>
          <w:sz w:val="22"/>
          <w:szCs w:val="22"/>
          <w:u w:val="single"/>
        </w:rPr>
      </w:pPr>
      <w:r w:rsidRPr="00430A27">
        <w:rPr>
          <w:sz w:val="22"/>
          <w:szCs w:val="22"/>
          <w:u w:val="single"/>
        </w:rPr>
        <w:t xml:space="preserve">Statements/Invoices/Accounting Related Materials: </w:t>
      </w:r>
    </w:p>
    <w:p w:rsidR="00276D37" w:rsidRPr="00430A27" w:rsidRDefault="008D5341" w:rsidP="00276D37">
      <w:pPr>
        <w:widowControl w:val="0"/>
        <w:kinsoku w:val="0"/>
        <w:spacing w:line="288" w:lineRule="auto"/>
        <w:ind w:left="1440" w:right="80"/>
        <w:jc w:val="both"/>
        <w:rPr>
          <w:color w:val="000000"/>
          <w:sz w:val="22"/>
          <w:szCs w:val="22"/>
        </w:rPr>
      </w:pPr>
      <w:r>
        <w:rPr>
          <w:sz w:val="22"/>
          <w:szCs w:val="22"/>
        </w:rPr>
        <w:t xml:space="preserve">Rockies Express Pipeline </w:t>
      </w:r>
      <w:r w:rsidR="00276D37" w:rsidRPr="00430A27">
        <w:rPr>
          <w:sz w:val="22"/>
          <w:szCs w:val="22"/>
        </w:rPr>
        <w:t>LLC</w:t>
      </w:r>
      <w:r w:rsidR="00276D37" w:rsidRPr="00430A27">
        <w:rPr>
          <w:color w:val="000000"/>
          <w:sz w:val="22"/>
          <w:szCs w:val="22"/>
        </w:rPr>
        <w:t xml:space="preserve"> </w:t>
      </w:r>
    </w:p>
    <w:p w:rsidR="00276D37" w:rsidRPr="00430A27" w:rsidRDefault="00276D37" w:rsidP="00276D37">
      <w:pPr>
        <w:widowControl w:val="0"/>
        <w:kinsoku w:val="0"/>
        <w:spacing w:line="288" w:lineRule="auto"/>
        <w:ind w:left="1440" w:right="-10"/>
        <w:jc w:val="both"/>
        <w:rPr>
          <w:sz w:val="22"/>
          <w:szCs w:val="22"/>
        </w:rPr>
      </w:pPr>
      <w:r w:rsidRPr="00430A27">
        <w:rPr>
          <w:sz w:val="22"/>
          <w:szCs w:val="22"/>
        </w:rPr>
        <w:t>Attention: Account Services</w:t>
      </w:r>
    </w:p>
    <w:p w:rsidR="00276D37" w:rsidRPr="00430A27" w:rsidRDefault="00276D37" w:rsidP="00276D37">
      <w:pPr>
        <w:widowControl w:val="0"/>
        <w:kinsoku w:val="0"/>
        <w:spacing w:line="288" w:lineRule="auto"/>
        <w:ind w:left="1440"/>
        <w:jc w:val="both"/>
        <w:rPr>
          <w:sz w:val="22"/>
          <w:szCs w:val="22"/>
        </w:rPr>
      </w:pPr>
      <w:r w:rsidRPr="00430A27">
        <w:rPr>
          <w:sz w:val="22"/>
          <w:szCs w:val="22"/>
        </w:rPr>
        <w:t>370 Van Gordon Street</w:t>
      </w:r>
    </w:p>
    <w:p w:rsidR="00276D37" w:rsidRPr="00430A27" w:rsidRDefault="00276D37" w:rsidP="00276D37">
      <w:pPr>
        <w:widowControl w:val="0"/>
        <w:kinsoku w:val="0"/>
        <w:spacing w:line="288" w:lineRule="auto"/>
        <w:ind w:left="1440"/>
        <w:jc w:val="both"/>
        <w:rPr>
          <w:sz w:val="22"/>
          <w:szCs w:val="22"/>
        </w:rPr>
      </w:pPr>
      <w:r w:rsidRPr="00430A27">
        <w:rPr>
          <w:sz w:val="22"/>
          <w:szCs w:val="22"/>
        </w:rPr>
        <w:t>Lakewood, Colorado 80228</w:t>
      </w:r>
    </w:p>
    <w:p w:rsidR="00276D37" w:rsidRPr="00430A27" w:rsidRDefault="00276D37" w:rsidP="00276D37">
      <w:pPr>
        <w:widowControl w:val="0"/>
        <w:kinsoku w:val="0"/>
        <w:spacing w:line="288" w:lineRule="auto"/>
        <w:ind w:left="1350"/>
        <w:jc w:val="both"/>
        <w:rPr>
          <w:sz w:val="22"/>
          <w:szCs w:val="22"/>
        </w:rPr>
      </w:pPr>
    </w:p>
    <w:p w:rsidR="00276D37" w:rsidRPr="00430A27" w:rsidRDefault="00276D37" w:rsidP="00276D37">
      <w:pPr>
        <w:pStyle w:val="ListParagraph"/>
        <w:widowControl w:val="0"/>
        <w:numPr>
          <w:ilvl w:val="0"/>
          <w:numId w:val="2"/>
        </w:numPr>
        <w:tabs>
          <w:tab w:val="num" w:pos="1440"/>
        </w:tabs>
        <w:kinsoku w:val="0"/>
        <w:spacing w:line="288" w:lineRule="auto"/>
        <w:ind w:left="1440" w:hanging="450"/>
        <w:jc w:val="both"/>
        <w:rPr>
          <w:sz w:val="22"/>
          <w:szCs w:val="22"/>
        </w:rPr>
      </w:pPr>
      <w:r w:rsidRPr="00430A27">
        <w:rPr>
          <w:sz w:val="22"/>
          <w:szCs w:val="22"/>
        </w:rPr>
        <w:t>This MCR Agreement may not be transferred or assigned by Replacement Shipper.</w:t>
      </w:r>
    </w:p>
    <w:p w:rsidR="00276D37" w:rsidRPr="00430A27" w:rsidRDefault="00276D37" w:rsidP="00276D37">
      <w:pPr>
        <w:pStyle w:val="ListParagraph"/>
        <w:widowControl w:val="0"/>
        <w:kinsoku w:val="0"/>
        <w:spacing w:line="288" w:lineRule="auto"/>
        <w:ind w:left="648"/>
        <w:jc w:val="both"/>
        <w:rPr>
          <w:sz w:val="22"/>
          <w:szCs w:val="22"/>
        </w:rPr>
      </w:pPr>
    </w:p>
    <w:p w:rsidR="00276D37" w:rsidRPr="00430A27" w:rsidRDefault="00276D37" w:rsidP="00276D37">
      <w:pPr>
        <w:pStyle w:val="ListParagraph"/>
        <w:widowControl w:val="0"/>
        <w:numPr>
          <w:ilvl w:val="0"/>
          <w:numId w:val="2"/>
        </w:numPr>
        <w:tabs>
          <w:tab w:val="num" w:pos="630"/>
        </w:tabs>
        <w:kinsoku w:val="0"/>
        <w:spacing w:line="276" w:lineRule="auto"/>
        <w:ind w:left="1350" w:hanging="360"/>
        <w:jc w:val="both"/>
        <w:rPr>
          <w:sz w:val="22"/>
          <w:szCs w:val="22"/>
        </w:rPr>
      </w:pPr>
      <w:r w:rsidRPr="00430A27">
        <w:rPr>
          <w:sz w:val="22"/>
          <w:szCs w:val="22"/>
        </w:rPr>
        <w:t xml:space="preserve">TRANSPORTER AND REPLACEMENT SHIPPER ACKNOWLEDGE AND AGREE THAT THIS MCR AGREEMENT AND ALL SERVICES PROVIDED TO REPLACEMENT SHIPPER BY TRANSPORTER ARE SUBJECT TO ALL APPLICABLE TERMS AND CONDITIONS OF TRANSPORTER'S TARIFF AND ALL APPLICABLE LAWS AND REGULATIONS, AS THEY MAY CHANGE FROM TIME-TO-TIME. TO THE EXTENT THAT STATE LAW MAY BE APPLICABLE, </w:t>
      </w:r>
      <w:r w:rsidRPr="00430A27">
        <w:rPr>
          <w:sz w:val="22"/>
          <w:szCs w:val="22"/>
        </w:rPr>
        <w:lastRenderedPageBreak/>
        <w:t xml:space="preserve">TRANSPORTER AND REPLACEMENT SHIPPER EXPRESSLY AGREE THAT THE LAWS OF THE STATE OF </w:t>
      </w:r>
      <w:r w:rsidR="00E505CA">
        <w:rPr>
          <w:sz w:val="22"/>
          <w:szCs w:val="22"/>
        </w:rPr>
        <w:t>COLORADO</w:t>
      </w:r>
      <w:r w:rsidRPr="00430A27">
        <w:rPr>
          <w:sz w:val="22"/>
          <w:szCs w:val="22"/>
        </w:rPr>
        <w:t xml:space="preserve"> SHALL GOVERN THE VALIDITY, CONSTRUCTION, INTERPRETATION, AND EFFECT OF THIS MCR AGREEMENT, EXCLUDING, HOWEVER, ANY CONFLICT OF LAWS RULE WHICH WOULD APPLY THE LAWS OF ANOTHER STATE.</w:t>
      </w:r>
    </w:p>
    <w:p w:rsidR="00276D37" w:rsidRPr="00430A27" w:rsidRDefault="00276D37" w:rsidP="00276D37">
      <w:pPr>
        <w:pStyle w:val="ListParagraph"/>
        <w:spacing w:line="288" w:lineRule="auto"/>
        <w:rPr>
          <w:sz w:val="22"/>
          <w:szCs w:val="22"/>
        </w:rPr>
      </w:pPr>
    </w:p>
    <w:p w:rsidR="00276D37" w:rsidRPr="00430A27" w:rsidRDefault="00276D37" w:rsidP="00276D37">
      <w:pPr>
        <w:widowControl w:val="0"/>
        <w:numPr>
          <w:ilvl w:val="0"/>
          <w:numId w:val="2"/>
        </w:numPr>
        <w:tabs>
          <w:tab w:val="num" w:pos="1440"/>
        </w:tabs>
        <w:kinsoku w:val="0"/>
        <w:spacing w:line="276" w:lineRule="auto"/>
        <w:ind w:left="1440" w:hanging="360"/>
        <w:jc w:val="both"/>
        <w:rPr>
          <w:sz w:val="22"/>
          <w:szCs w:val="22"/>
        </w:rPr>
      </w:pPr>
      <w:r w:rsidRPr="00430A27">
        <w:rPr>
          <w:sz w:val="22"/>
          <w:szCs w:val="22"/>
        </w:rPr>
        <w:t>The term of this MCR Agreement shall be for a term of one (1) year commencing on the first date hereinabove written</w:t>
      </w:r>
      <w:r w:rsidR="008D5341">
        <w:rPr>
          <w:sz w:val="22"/>
          <w:szCs w:val="22"/>
        </w:rPr>
        <w:t xml:space="preserve">, and shall continue on a month </w:t>
      </w:r>
      <w:r w:rsidRPr="00430A27">
        <w:rPr>
          <w:sz w:val="22"/>
          <w:szCs w:val="22"/>
        </w:rPr>
        <w:t>t</w:t>
      </w:r>
      <w:r w:rsidR="008D5341">
        <w:rPr>
          <w:sz w:val="22"/>
          <w:szCs w:val="22"/>
        </w:rPr>
        <w:t xml:space="preserve">o </w:t>
      </w:r>
      <w:r w:rsidRPr="00430A27">
        <w:rPr>
          <w:sz w:val="22"/>
          <w:szCs w:val="22"/>
        </w:rPr>
        <w:t xml:space="preserve">month basis thereafter unless and until terminated by either party upon fourteen (14) days written notice; provided that this MCR Agreement shall continue to be in effect beyond the effective date of any termination notice with respect to any then existing non-permanent capacity release services being provided by Transporter to Replacement Shipper until such capacity release services have terminated in accordance with their terms; and further provided that no new capacity releases may occur under this MCR Agreement after the effective date of any termination notice. </w:t>
      </w:r>
    </w:p>
    <w:p w:rsidR="00276D37" w:rsidRPr="00430A27" w:rsidRDefault="00276D37" w:rsidP="00276D37">
      <w:pPr>
        <w:pStyle w:val="Tariff"/>
        <w:spacing w:line="288" w:lineRule="auto"/>
        <w:jc w:val="both"/>
        <w:rPr>
          <w:rFonts w:ascii="Times New Roman" w:hAnsi="Times New Roman"/>
          <w:sz w:val="22"/>
          <w:szCs w:val="22"/>
        </w:rPr>
      </w:pPr>
    </w:p>
    <w:p w:rsidR="00276D37" w:rsidRPr="00430A27" w:rsidRDefault="00276D37" w:rsidP="00276D37">
      <w:pPr>
        <w:pStyle w:val="Tariff"/>
        <w:spacing w:line="276" w:lineRule="auto"/>
        <w:jc w:val="both"/>
        <w:rPr>
          <w:rFonts w:ascii="Times New Roman" w:hAnsi="Times New Roman"/>
          <w:sz w:val="22"/>
          <w:szCs w:val="22"/>
        </w:rPr>
      </w:pPr>
      <w:r w:rsidRPr="00430A27">
        <w:rPr>
          <w:rFonts w:ascii="Times New Roman" w:hAnsi="Times New Roman"/>
          <w:sz w:val="22"/>
          <w:szCs w:val="22"/>
        </w:rPr>
        <w:t>IN WITNESS WHEREOF, the parties hereto have caused this MCR Agreement to be executed by their respective representative thereunto duly authorized, on the day and year first above written.</w:t>
      </w:r>
    </w:p>
    <w:p w:rsidR="00276D37" w:rsidRPr="00430A27" w:rsidRDefault="00276D37" w:rsidP="00276D37">
      <w:pPr>
        <w:pStyle w:val="Tariff"/>
        <w:spacing w:line="288" w:lineRule="auto"/>
        <w:jc w:val="both"/>
        <w:rPr>
          <w:rFonts w:ascii="Times New Roman" w:hAnsi="Times New Roman"/>
          <w:sz w:val="22"/>
          <w:szCs w:val="22"/>
        </w:rPr>
      </w:pPr>
    </w:p>
    <w:p w:rsidR="00276D37" w:rsidRPr="00430A27" w:rsidRDefault="00276D37" w:rsidP="00276D37">
      <w:pPr>
        <w:pStyle w:val="Tariff"/>
        <w:spacing w:line="288" w:lineRule="auto"/>
        <w:jc w:val="both"/>
        <w:rPr>
          <w:rFonts w:ascii="Times New Roman" w:hAnsi="Times New Roman"/>
          <w:spacing w:val="-6"/>
          <w:sz w:val="22"/>
          <w:szCs w:val="22"/>
        </w:rPr>
      </w:pPr>
      <w:r w:rsidRPr="00430A27">
        <w:rPr>
          <w:rFonts w:ascii="Times New Roman" w:hAnsi="Times New Roman"/>
          <w:sz w:val="22"/>
          <w:szCs w:val="22"/>
        </w:rPr>
        <w:t xml:space="preserve">AGREED TO BY:  </w:t>
      </w:r>
    </w:p>
    <w:p w:rsidR="004F241E" w:rsidRPr="00276D37" w:rsidRDefault="004F241E" w:rsidP="004F241E">
      <w:pPr>
        <w:tabs>
          <w:tab w:val="left" w:pos="762"/>
          <w:tab w:val="left" w:pos="4998"/>
        </w:tabs>
        <w:spacing w:line="288" w:lineRule="auto"/>
        <w:ind w:left="424"/>
        <w:jc w:val="both"/>
        <w:rPr>
          <w:snapToGrid w:val="0"/>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tblBorders>
        <w:tblLook w:val="01E0" w:firstRow="1" w:lastRow="1" w:firstColumn="1" w:lastColumn="1" w:noHBand="0" w:noVBand="0"/>
      </w:tblPr>
      <w:tblGrid>
        <w:gridCol w:w="2058"/>
        <w:gridCol w:w="5772"/>
      </w:tblGrid>
      <w:tr w:rsidR="004F241E" w:rsidRPr="004F241E" w:rsidTr="00107069">
        <w:tc>
          <w:tcPr>
            <w:tcW w:w="2058" w:type="dxa"/>
            <w:tcBorders>
              <w:top w:val="nil"/>
              <w:left w:val="nil"/>
              <w:bottom w:val="nil"/>
              <w:right w:val="nil"/>
            </w:tcBorders>
            <w:hideMark/>
          </w:tcPr>
          <w:p w:rsidR="004F241E" w:rsidRPr="004F241E" w:rsidRDefault="004F241E" w:rsidP="00107069">
            <w:pPr>
              <w:tabs>
                <w:tab w:val="left" w:pos="1440"/>
              </w:tabs>
              <w:spacing w:line="288" w:lineRule="auto"/>
              <w:jc w:val="right"/>
              <w:rPr>
                <w:b/>
                <w:sz w:val="22"/>
                <w:szCs w:val="22"/>
              </w:rPr>
            </w:pPr>
            <w:r w:rsidRPr="00276D37">
              <w:rPr>
                <w:sz w:val="22"/>
                <w:szCs w:val="22"/>
              </w:rPr>
              <w:t>Shipper Approval</w:t>
            </w:r>
            <w:r w:rsidRPr="004F241E">
              <w:rPr>
                <w:b/>
                <w:sz w:val="22"/>
                <w:szCs w:val="22"/>
              </w:rPr>
              <w:t>:</w:t>
            </w:r>
          </w:p>
        </w:tc>
        <w:tc>
          <w:tcPr>
            <w:tcW w:w="5772" w:type="dxa"/>
            <w:tcBorders>
              <w:top w:val="nil"/>
              <w:left w:val="nil"/>
              <w:bottom w:val="nil"/>
              <w:right w:val="nil"/>
            </w:tcBorders>
          </w:tcPr>
          <w:p w:rsidR="004F241E" w:rsidRPr="004F241E" w:rsidRDefault="004F241E" w:rsidP="00107069">
            <w:pPr>
              <w:tabs>
                <w:tab w:val="left" w:pos="1440"/>
              </w:tabs>
              <w:spacing w:line="288" w:lineRule="auto"/>
              <w:jc w:val="both"/>
              <w:rPr>
                <w:sz w:val="22"/>
                <w:szCs w:val="22"/>
              </w:rPr>
            </w:pPr>
          </w:p>
        </w:tc>
      </w:tr>
      <w:tr w:rsidR="004F241E" w:rsidRPr="004F241E" w:rsidTr="00107069">
        <w:tc>
          <w:tcPr>
            <w:tcW w:w="2058" w:type="dxa"/>
            <w:tcBorders>
              <w:top w:val="nil"/>
              <w:left w:val="nil"/>
              <w:bottom w:val="nil"/>
              <w:right w:val="nil"/>
            </w:tcBorders>
            <w:hideMark/>
          </w:tcPr>
          <w:p w:rsidR="004F241E" w:rsidRPr="004F241E" w:rsidRDefault="004F241E" w:rsidP="00107069">
            <w:pPr>
              <w:tabs>
                <w:tab w:val="left" w:pos="1440"/>
              </w:tabs>
              <w:spacing w:line="288" w:lineRule="auto"/>
              <w:jc w:val="right"/>
              <w:rPr>
                <w:sz w:val="22"/>
                <w:szCs w:val="22"/>
              </w:rPr>
            </w:pPr>
            <w:r w:rsidRPr="004F241E">
              <w:rPr>
                <w:sz w:val="22"/>
                <w:szCs w:val="22"/>
              </w:rPr>
              <w:t>Shipper:</w:t>
            </w:r>
          </w:p>
        </w:tc>
        <w:tc>
          <w:tcPr>
            <w:tcW w:w="5772" w:type="dxa"/>
            <w:tcBorders>
              <w:top w:val="nil"/>
              <w:left w:val="nil"/>
              <w:right w:val="nil"/>
            </w:tcBorders>
          </w:tcPr>
          <w:p w:rsidR="004F241E" w:rsidRPr="008D5341" w:rsidRDefault="004F241E" w:rsidP="00107069">
            <w:pPr>
              <w:tabs>
                <w:tab w:val="left" w:pos="1440"/>
              </w:tabs>
              <w:spacing w:line="288" w:lineRule="auto"/>
              <w:jc w:val="both"/>
              <w:rPr>
                <w:sz w:val="22"/>
                <w:szCs w:val="22"/>
              </w:rPr>
            </w:pPr>
          </w:p>
        </w:tc>
      </w:tr>
      <w:tr w:rsidR="004F241E" w:rsidRPr="004F241E" w:rsidTr="00107069">
        <w:tc>
          <w:tcPr>
            <w:tcW w:w="2058" w:type="dxa"/>
            <w:tcBorders>
              <w:top w:val="nil"/>
              <w:left w:val="nil"/>
              <w:bottom w:val="nil"/>
              <w:right w:val="nil"/>
            </w:tcBorders>
            <w:hideMark/>
          </w:tcPr>
          <w:p w:rsidR="004F241E" w:rsidRPr="004F241E" w:rsidRDefault="004F241E" w:rsidP="00107069">
            <w:pPr>
              <w:tabs>
                <w:tab w:val="left" w:pos="1440"/>
              </w:tabs>
              <w:spacing w:line="288" w:lineRule="auto"/>
              <w:jc w:val="right"/>
              <w:rPr>
                <w:sz w:val="22"/>
                <w:szCs w:val="22"/>
              </w:rPr>
            </w:pPr>
            <w:r w:rsidRPr="004F241E">
              <w:rPr>
                <w:sz w:val="22"/>
                <w:szCs w:val="22"/>
              </w:rPr>
              <w:t>Signature:</w:t>
            </w:r>
          </w:p>
        </w:tc>
        <w:tc>
          <w:tcPr>
            <w:tcW w:w="5772" w:type="dxa"/>
            <w:tcBorders>
              <w:left w:val="nil"/>
              <w:right w:val="nil"/>
            </w:tcBorders>
          </w:tcPr>
          <w:p w:rsidR="004F241E" w:rsidRPr="004F241E" w:rsidRDefault="004F241E" w:rsidP="00107069">
            <w:pPr>
              <w:tabs>
                <w:tab w:val="left" w:pos="1440"/>
              </w:tabs>
              <w:spacing w:line="288" w:lineRule="auto"/>
              <w:jc w:val="both"/>
              <w:rPr>
                <w:sz w:val="22"/>
                <w:szCs w:val="22"/>
              </w:rPr>
            </w:pPr>
          </w:p>
        </w:tc>
      </w:tr>
      <w:tr w:rsidR="004F241E" w:rsidRPr="004F241E" w:rsidTr="00107069">
        <w:tc>
          <w:tcPr>
            <w:tcW w:w="2058" w:type="dxa"/>
            <w:tcBorders>
              <w:top w:val="nil"/>
              <w:left w:val="nil"/>
              <w:bottom w:val="nil"/>
              <w:right w:val="nil"/>
            </w:tcBorders>
            <w:hideMark/>
          </w:tcPr>
          <w:p w:rsidR="004F241E" w:rsidRPr="004F241E" w:rsidRDefault="004F241E" w:rsidP="00107069">
            <w:pPr>
              <w:tabs>
                <w:tab w:val="left" w:pos="1440"/>
              </w:tabs>
              <w:spacing w:line="288" w:lineRule="auto"/>
              <w:jc w:val="right"/>
              <w:rPr>
                <w:sz w:val="22"/>
                <w:szCs w:val="22"/>
              </w:rPr>
            </w:pPr>
            <w:r w:rsidRPr="004F241E">
              <w:rPr>
                <w:sz w:val="22"/>
                <w:szCs w:val="22"/>
              </w:rPr>
              <w:t>Title:</w:t>
            </w:r>
          </w:p>
        </w:tc>
        <w:tc>
          <w:tcPr>
            <w:tcW w:w="5772" w:type="dxa"/>
            <w:tcBorders>
              <w:left w:val="nil"/>
              <w:right w:val="nil"/>
            </w:tcBorders>
          </w:tcPr>
          <w:p w:rsidR="004F241E" w:rsidRPr="004F241E" w:rsidRDefault="004F241E" w:rsidP="00107069">
            <w:pPr>
              <w:tabs>
                <w:tab w:val="left" w:pos="1440"/>
              </w:tabs>
              <w:spacing w:line="288" w:lineRule="auto"/>
              <w:jc w:val="both"/>
              <w:rPr>
                <w:sz w:val="22"/>
                <w:szCs w:val="22"/>
              </w:rPr>
            </w:pPr>
          </w:p>
        </w:tc>
      </w:tr>
    </w:tbl>
    <w:p w:rsidR="004F241E" w:rsidRPr="004F241E" w:rsidRDefault="004F241E" w:rsidP="004F241E">
      <w:pPr>
        <w:tabs>
          <w:tab w:val="left" w:pos="2058"/>
        </w:tabs>
        <w:spacing w:line="288" w:lineRule="auto"/>
        <w:rPr>
          <w:sz w:val="22"/>
          <w:szCs w:val="22"/>
        </w:rPr>
      </w:pPr>
      <w:r w:rsidRPr="004F241E">
        <w:rPr>
          <w:sz w:val="22"/>
          <w:szCs w:val="22"/>
        </w:rPr>
        <w:tab/>
      </w:r>
    </w:p>
    <w:tbl>
      <w:tblPr>
        <w:tblW w:w="0" w:type="auto"/>
        <w:tblInd w:w="-438" w:type="dxa"/>
        <w:tblBorders>
          <w:top w:val="single" w:sz="4" w:space="0" w:color="C0C0C0"/>
          <w:left w:val="single" w:sz="4" w:space="0" w:color="C0C0C0"/>
          <w:bottom w:val="single" w:sz="4" w:space="0" w:color="C0C0C0"/>
          <w:right w:val="single" w:sz="4" w:space="0" w:color="C0C0C0"/>
          <w:insideH w:val="single" w:sz="4" w:space="0" w:color="C0C0C0"/>
        </w:tblBorders>
        <w:tblLook w:val="01E0" w:firstRow="1" w:lastRow="1" w:firstColumn="1" w:lastColumn="1" w:noHBand="0" w:noVBand="0"/>
      </w:tblPr>
      <w:tblGrid>
        <w:gridCol w:w="2496"/>
        <w:gridCol w:w="5772"/>
      </w:tblGrid>
      <w:tr w:rsidR="004F241E" w:rsidRPr="004F241E" w:rsidTr="00107069">
        <w:tc>
          <w:tcPr>
            <w:tcW w:w="2496" w:type="dxa"/>
            <w:tcBorders>
              <w:top w:val="nil"/>
              <w:left w:val="nil"/>
              <w:bottom w:val="nil"/>
              <w:right w:val="nil"/>
            </w:tcBorders>
            <w:hideMark/>
          </w:tcPr>
          <w:p w:rsidR="004F241E" w:rsidRPr="00276D37" w:rsidRDefault="004F241E" w:rsidP="00107069">
            <w:pPr>
              <w:tabs>
                <w:tab w:val="left" w:pos="1440"/>
              </w:tabs>
              <w:spacing w:line="288" w:lineRule="auto"/>
              <w:jc w:val="right"/>
              <w:rPr>
                <w:sz w:val="22"/>
                <w:szCs w:val="22"/>
              </w:rPr>
            </w:pPr>
            <w:r w:rsidRPr="00276D37">
              <w:rPr>
                <w:sz w:val="22"/>
                <w:szCs w:val="22"/>
              </w:rPr>
              <w:t>Transporter Approval:</w:t>
            </w:r>
          </w:p>
        </w:tc>
        <w:tc>
          <w:tcPr>
            <w:tcW w:w="5772" w:type="dxa"/>
            <w:tcBorders>
              <w:top w:val="nil"/>
              <w:left w:val="nil"/>
              <w:bottom w:val="nil"/>
              <w:right w:val="nil"/>
            </w:tcBorders>
          </w:tcPr>
          <w:p w:rsidR="004F241E" w:rsidRPr="004F241E" w:rsidRDefault="004F241E" w:rsidP="00107069">
            <w:pPr>
              <w:tabs>
                <w:tab w:val="left" w:pos="1440"/>
              </w:tabs>
              <w:spacing w:line="288" w:lineRule="auto"/>
              <w:jc w:val="both"/>
              <w:rPr>
                <w:b/>
                <w:i/>
                <w:color w:val="0000FF"/>
                <w:sz w:val="22"/>
                <w:szCs w:val="22"/>
              </w:rPr>
            </w:pPr>
          </w:p>
        </w:tc>
      </w:tr>
      <w:tr w:rsidR="004F241E" w:rsidRPr="004F241E" w:rsidTr="00107069">
        <w:tc>
          <w:tcPr>
            <w:tcW w:w="2496" w:type="dxa"/>
            <w:tcBorders>
              <w:top w:val="nil"/>
              <w:left w:val="nil"/>
              <w:bottom w:val="nil"/>
              <w:right w:val="nil"/>
            </w:tcBorders>
            <w:hideMark/>
          </w:tcPr>
          <w:p w:rsidR="004F241E" w:rsidRPr="004F241E" w:rsidRDefault="004F241E" w:rsidP="00107069">
            <w:pPr>
              <w:tabs>
                <w:tab w:val="left" w:pos="1440"/>
              </w:tabs>
              <w:spacing w:line="288" w:lineRule="auto"/>
              <w:jc w:val="right"/>
              <w:rPr>
                <w:i/>
                <w:sz w:val="22"/>
                <w:szCs w:val="22"/>
              </w:rPr>
            </w:pPr>
            <w:r w:rsidRPr="004F241E">
              <w:rPr>
                <w:sz w:val="22"/>
                <w:szCs w:val="22"/>
              </w:rPr>
              <w:t xml:space="preserve">Transporter:  </w:t>
            </w:r>
          </w:p>
        </w:tc>
        <w:tc>
          <w:tcPr>
            <w:tcW w:w="5772" w:type="dxa"/>
            <w:tcBorders>
              <w:top w:val="nil"/>
              <w:left w:val="nil"/>
              <w:right w:val="nil"/>
            </w:tcBorders>
            <w:hideMark/>
          </w:tcPr>
          <w:p w:rsidR="004F241E" w:rsidRPr="004F241E" w:rsidRDefault="008D5341" w:rsidP="00107069">
            <w:pPr>
              <w:tabs>
                <w:tab w:val="left" w:pos="1440"/>
              </w:tabs>
              <w:spacing w:line="288" w:lineRule="auto"/>
              <w:jc w:val="both"/>
              <w:rPr>
                <w:b/>
                <w:sz w:val="22"/>
                <w:szCs w:val="22"/>
              </w:rPr>
            </w:pPr>
            <w:r>
              <w:rPr>
                <w:b/>
                <w:i/>
                <w:sz w:val="22"/>
                <w:szCs w:val="22"/>
              </w:rPr>
              <w:t>Rockies Express Pipeline LLC</w:t>
            </w:r>
          </w:p>
        </w:tc>
      </w:tr>
      <w:tr w:rsidR="004F241E" w:rsidRPr="004F241E" w:rsidTr="00107069">
        <w:tc>
          <w:tcPr>
            <w:tcW w:w="2496" w:type="dxa"/>
            <w:tcBorders>
              <w:top w:val="nil"/>
              <w:left w:val="nil"/>
              <w:bottom w:val="nil"/>
              <w:right w:val="nil"/>
            </w:tcBorders>
            <w:hideMark/>
          </w:tcPr>
          <w:p w:rsidR="004F241E" w:rsidRPr="004F241E" w:rsidRDefault="004F241E" w:rsidP="00107069">
            <w:pPr>
              <w:tabs>
                <w:tab w:val="left" w:pos="1440"/>
              </w:tabs>
              <w:spacing w:line="288" w:lineRule="auto"/>
              <w:jc w:val="right"/>
              <w:rPr>
                <w:sz w:val="22"/>
                <w:szCs w:val="22"/>
              </w:rPr>
            </w:pPr>
            <w:r w:rsidRPr="004F241E">
              <w:rPr>
                <w:sz w:val="22"/>
                <w:szCs w:val="22"/>
              </w:rPr>
              <w:t>Signature:</w:t>
            </w:r>
          </w:p>
        </w:tc>
        <w:tc>
          <w:tcPr>
            <w:tcW w:w="5772" w:type="dxa"/>
            <w:tcBorders>
              <w:left w:val="nil"/>
              <w:right w:val="nil"/>
            </w:tcBorders>
          </w:tcPr>
          <w:p w:rsidR="004F241E" w:rsidRPr="004F241E" w:rsidRDefault="004F241E" w:rsidP="00107069">
            <w:pPr>
              <w:tabs>
                <w:tab w:val="left" w:pos="1440"/>
              </w:tabs>
              <w:spacing w:line="288" w:lineRule="auto"/>
              <w:jc w:val="both"/>
              <w:rPr>
                <w:sz w:val="22"/>
                <w:szCs w:val="22"/>
              </w:rPr>
            </w:pPr>
          </w:p>
        </w:tc>
      </w:tr>
      <w:tr w:rsidR="004F241E" w:rsidRPr="004F241E" w:rsidTr="00107069">
        <w:tc>
          <w:tcPr>
            <w:tcW w:w="2496" w:type="dxa"/>
            <w:tcBorders>
              <w:top w:val="nil"/>
              <w:left w:val="nil"/>
              <w:bottom w:val="nil"/>
              <w:right w:val="nil"/>
            </w:tcBorders>
            <w:hideMark/>
          </w:tcPr>
          <w:p w:rsidR="004F241E" w:rsidRPr="004F241E" w:rsidRDefault="004F241E" w:rsidP="00107069">
            <w:pPr>
              <w:tabs>
                <w:tab w:val="left" w:pos="1440"/>
              </w:tabs>
              <w:spacing w:line="288" w:lineRule="auto"/>
              <w:jc w:val="right"/>
              <w:rPr>
                <w:sz w:val="22"/>
                <w:szCs w:val="22"/>
              </w:rPr>
            </w:pPr>
            <w:r w:rsidRPr="004F241E">
              <w:rPr>
                <w:sz w:val="22"/>
                <w:szCs w:val="22"/>
              </w:rPr>
              <w:t>Title:</w:t>
            </w:r>
          </w:p>
        </w:tc>
        <w:tc>
          <w:tcPr>
            <w:tcW w:w="5772" w:type="dxa"/>
            <w:tcBorders>
              <w:left w:val="nil"/>
              <w:right w:val="nil"/>
            </w:tcBorders>
          </w:tcPr>
          <w:p w:rsidR="004F241E" w:rsidRPr="004F241E" w:rsidRDefault="004F241E" w:rsidP="00107069">
            <w:pPr>
              <w:tabs>
                <w:tab w:val="left" w:pos="1440"/>
              </w:tabs>
              <w:spacing w:line="288" w:lineRule="auto"/>
              <w:jc w:val="both"/>
              <w:rPr>
                <w:sz w:val="22"/>
                <w:szCs w:val="22"/>
              </w:rPr>
            </w:pPr>
          </w:p>
        </w:tc>
      </w:tr>
    </w:tbl>
    <w:p w:rsidR="004F241E" w:rsidRPr="004F241E" w:rsidRDefault="004F241E" w:rsidP="00276D37">
      <w:pPr>
        <w:spacing w:line="288" w:lineRule="auto"/>
        <w:ind w:left="1440" w:hanging="696"/>
        <w:jc w:val="right"/>
        <w:rPr>
          <w:sz w:val="22"/>
          <w:szCs w:val="22"/>
        </w:rPr>
      </w:pPr>
    </w:p>
    <w:sectPr w:rsidR="004F241E" w:rsidRPr="004F241E" w:rsidSect="00A116E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45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632" w:rsidRDefault="003B3632" w:rsidP="004F241E">
      <w:r>
        <w:separator/>
      </w:r>
    </w:p>
  </w:endnote>
  <w:endnote w:type="continuationSeparator" w:id="0">
    <w:p w:rsidR="003B3632" w:rsidRDefault="003B3632" w:rsidP="004F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E1E" w:rsidRDefault="00D44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E1E" w:rsidRDefault="00D44E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E1E" w:rsidRDefault="00D44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632" w:rsidRDefault="003B3632" w:rsidP="004F241E">
      <w:r>
        <w:separator/>
      </w:r>
    </w:p>
  </w:footnote>
  <w:footnote w:type="continuationSeparator" w:id="0">
    <w:p w:rsidR="003B3632" w:rsidRDefault="003B3632" w:rsidP="004F2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E1E" w:rsidRDefault="00615E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497156" o:spid="_x0000_s4110" type="#_x0000_t136" style="position:absolute;margin-left:0;margin-top:0;width:789.75pt;height:54.75pt;rotation:315;z-index:-251655168;mso-position-horizontal:center;mso-position-horizontal-relative:margin;mso-position-vertical:center;mso-position-vertical-relative:margin" o:allowincell="f" fillcolor="#a5a5a5 [2092]" stroked="f">
          <v:fill opacity=".5"/>
          <v:textpath style="font-family:&quot;Times New Roman&quot;;font-size:48pt" string="INFOMRATIONAL PUR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37" w:rsidRPr="00BA32E5" w:rsidRDefault="00615E1E" w:rsidP="00276D37">
    <w:pPr>
      <w:pStyle w:val="Footer"/>
      <w:tabs>
        <w:tab w:val="clear" w:pos="4680"/>
        <w:tab w:val="clear" w:pos="9360"/>
        <w:tab w:val="left" w:pos="7290"/>
      </w:tabs>
      <w:jc w:val="both"/>
      <w:rPr>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497157" o:spid="_x0000_s4111" type="#_x0000_t136" style="position:absolute;left:0;text-align:left;margin-left:0;margin-top:0;width:789.75pt;height:54.75pt;rotation:315;z-index:-251653120;mso-position-horizontal:center;mso-position-horizontal-relative:margin;mso-position-vertical:center;mso-position-vertical-relative:margin" o:allowincell="f" fillcolor="#a5a5a5 [2092]" stroked="f">
          <v:fill opacity=".5"/>
          <v:textpath style="font-family:&quot;Times New Roman&quot;;font-size:48pt" string="INFOMRATIONAL PURPOSES ONLY"/>
          <w10:wrap anchorx="margin" anchory="margin"/>
        </v:shape>
      </w:pict>
    </w:r>
  </w:p>
  <w:p w:rsidR="00E505CA" w:rsidRPr="00E505CA" w:rsidRDefault="00E505CA" w:rsidP="00E505CA">
    <w:pPr>
      <w:tabs>
        <w:tab w:val="left" w:pos="9360"/>
      </w:tabs>
      <w:spacing w:line="288" w:lineRule="auto"/>
      <w:ind w:left="5760" w:firstLine="720"/>
      <w:jc w:val="right"/>
      <w:rPr>
        <w:sz w:val="22"/>
        <w:szCs w:val="22"/>
        <w:u w:val="single"/>
      </w:rPr>
    </w:pPr>
    <w:r w:rsidRPr="00E505CA">
      <w:rPr>
        <w:sz w:val="22"/>
        <w:szCs w:val="22"/>
      </w:rPr>
      <w:t>Contract No.</w:t>
    </w:r>
    <w:r w:rsidRPr="00E505CA">
      <w:rPr>
        <w:sz w:val="22"/>
        <w:szCs w:val="22"/>
        <w:u w:val="single"/>
      </w:rPr>
      <w:t>_______</w:t>
    </w:r>
  </w:p>
  <w:p w:rsidR="00E505CA" w:rsidRPr="00E505CA" w:rsidRDefault="00E505CA" w:rsidP="00E505CA">
    <w:pPr>
      <w:tabs>
        <w:tab w:val="left" w:pos="9360"/>
      </w:tabs>
      <w:spacing w:line="288" w:lineRule="auto"/>
      <w:ind w:left="5760" w:firstLine="720"/>
      <w:jc w:val="right"/>
      <w:rPr>
        <w:sz w:val="22"/>
        <w:szCs w:val="22"/>
        <w:u w:val="single"/>
      </w:rPr>
    </w:pPr>
    <w:r w:rsidRPr="00E505CA">
      <w:rPr>
        <w:sz w:val="22"/>
        <w:szCs w:val="22"/>
      </w:rPr>
      <w:t xml:space="preserve">Page __ of ___ </w:t>
    </w:r>
  </w:p>
  <w:p w:rsidR="00276D37" w:rsidRPr="00276D37" w:rsidRDefault="00276D37" w:rsidP="00E505CA">
    <w:pPr>
      <w:tabs>
        <w:tab w:val="left" w:pos="450"/>
        <w:tab w:val="left" w:pos="7200"/>
      </w:tabs>
      <w:spacing w:line="288"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341" w:rsidRPr="00E505CA" w:rsidRDefault="00615E1E" w:rsidP="008D5341">
    <w:pPr>
      <w:tabs>
        <w:tab w:val="left" w:pos="9360"/>
      </w:tabs>
      <w:spacing w:line="288" w:lineRule="auto"/>
      <w:ind w:left="5760" w:firstLine="720"/>
      <w:jc w:val="right"/>
      <w:rPr>
        <w:sz w:val="22"/>
        <w:szCs w:val="22"/>
        <w:u w:val="singl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497155" o:spid="_x0000_s4109" type="#_x0000_t136" style="position:absolute;left:0;text-align:left;margin-left:0;margin-top:0;width:789.75pt;height:54.75pt;rotation:315;z-index:-251657216;mso-position-horizontal:center;mso-position-horizontal-relative:margin;mso-position-vertical:center;mso-position-vertical-relative:margin" o:allowincell="f" fillcolor="#a5a5a5 [2092]" stroked="f">
          <v:fill opacity=".5"/>
          <v:textpath style="font-family:&quot;Times New Roman&quot;;font-size:48pt" string="INFOMRATIONAL PURPOSES ONLY"/>
          <w10:wrap anchorx="margin" anchory="margin"/>
        </v:shape>
      </w:pict>
    </w:r>
    <w:r w:rsidR="008D5341" w:rsidRPr="00E505CA">
      <w:rPr>
        <w:sz w:val="22"/>
        <w:szCs w:val="22"/>
      </w:rPr>
      <w:t>Contract No.</w:t>
    </w:r>
    <w:r w:rsidR="008D5341" w:rsidRPr="00E505CA">
      <w:rPr>
        <w:sz w:val="22"/>
        <w:szCs w:val="22"/>
        <w:u w:val="single"/>
      </w:rPr>
      <w:t>_______</w:t>
    </w:r>
  </w:p>
  <w:p w:rsidR="008D5341" w:rsidRPr="00E505CA" w:rsidRDefault="008D5341" w:rsidP="008D5341">
    <w:pPr>
      <w:tabs>
        <w:tab w:val="left" w:pos="9360"/>
      </w:tabs>
      <w:spacing w:line="288" w:lineRule="auto"/>
      <w:ind w:left="5760" w:firstLine="720"/>
      <w:jc w:val="right"/>
      <w:rPr>
        <w:sz w:val="22"/>
        <w:szCs w:val="22"/>
        <w:u w:val="single"/>
      </w:rPr>
    </w:pPr>
    <w:r w:rsidRPr="00E505CA">
      <w:rPr>
        <w:sz w:val="22"/>
        <w:szCs w:val="22"/>
      </w:rPr>
      <w:t xml:space="preserve">Page __ of ___ </w:t>
    </w:r>
  </w:p>
  <w:p w:rsidR="008D5341" w:rsidRDefault="008D5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C11E"/>
    <w:multiLevelType w:val="singleLevel"/>
    <w:tmpl w:val="1DD6EF90"/>
    <w:lvl w:ilvl="0">
      <w:start w:val="1"/>
      <w:numFmt w:val="decimal"/>
      <w:lvlText w:val="%1."/>
      <w:lvlJc w:val="left"/>
      <w:pPr>
        <w:tabs>
          <w:tab w:val="num" w:pos="432"/>
        </w:tabs>
        <w:ind w:left="360"/>
      </w:pPr>
      <w:rPr>
        <w:rFonts w:ascii="Times New Roman" w:hAnsi="Times New Roman" w:cs="Times New Roman" w:hint="default"/>
        <w:sz w:val="22"/>
        <w:szCs w:val="22"/>
      </w:rPr>
    </w:lvl>
  </w:abstractNum>
  <w:abstractNum w:abstractNumId="1" w15:restartNumberingAfterBreak="0">
    <w:nsid w:val="3C152661"/>
    <w:multiLevelType w:val="hybridMultilevel"/>
    <w:tmpl w:val="7F32FD9E"/>
    <w:lvl w:ilvl="0" w:tplc="90827574">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4112"/>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1E"/>
    <w:rsid w:val="00107069"/>
    <w:rsid w:val="00123F47"/>
    <w:rsid w:val="001501E2"/>
    <w:rsid w:val="00193B83"/>
    <w:rsid w:val="002119FE"/>
    <w:rsid w:val="00276D37"/>
    <w:rsid w:val="002A2239"/>
    <w:rsid w:val="002D1632"/>
    <w:rsid w:val="002D7169"/>
    <w:rsid w:val="003329DF"/>
    <w:rsid w:val="003463D0"/>
    <w:rsid w:val="00372B0B"/>
    <w:rsid w:val="00373515"/>
    <w:rsid w:val="003B3632"/>
    <w:rsid w:val="003E2B0B"/>
    <w:rsid w:val="004250D3"/>
    <w:rsid w:val="00430A27"/>
    <w:rsid w:val="00466205"/>
    <w:rsid w:val="004B45ED"/>
    <w:rsid w:val="004E1A64"/>
    <w:rsid w:val="004F241E"/>
    <w:rsid w:val="00587E68"/>
    <w:rsid w:val="00612DB6"/>
    <w:rsid w:val="00615E1E"/>
    <w:rsid w:val="00636ED2"/>
    <w:rsid w:val="00697CC5"/>
    <w:rsid w:val="00761425"/>
    <w:rsid w:val="00783DA7"/>
    <w:rsid w:val="007B6AAF"/>
    <w:rsid w:val="00805358"/>
    <w:rsid w:val="008656D8"/>
    <w:rsid w:val="008C2D7E"/>
    <w:rsid w:val="008D5341"/>
    <w:rsid w:val="009465EB"/>
    <w:rsid w:val="009B6EAB"/>
    <w:rsid w:val="009E7711"/>
    <w:rsid w:val="00A116ED"/>
    <w:rsid w:val="00A20EE1"/>
    <w:rsid w:val="00A52E98"/>
    <w:rsid w:val="00BD1EF9"/>
    <w:rsid w:val="00BF1769"/>
    <w:rsid w:val="00C11B11"/>
    <w:rsid w:val="00C141C8"/>
    <w:rsid w:val="00D44E1E"/>
    <w:rsid w:val="00D74564"/>
    <w:rsid w:val="00D859F0"/>
    <w:rsid w:val="00D97AF8"/>
    <w:rsid w:val="00DF1C5E"/>
    <w:rsid w:val="00E10186"/>
    <w:rsid w:val="00E30654"/>
    <w:rsid w:val="00E505CA"/>
    <w:rsid w:val="00E646A1"/>
    <w:rsid w:val="00E66065"/>
    <w:rsid w:val="00EC02DE"/>
    <w:rsid w:val="00EC23A0"/>
    <w:rsid w:val="00F00F92"/>
    <w:rsid w:val="00F05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12"/>
    <o:shapelayout v:ext="edit">
      <o:idmap v:ext="edit" data="1"/>
    </o:shapelayout>
  </w:shapeDefaults>
  <w:decimalSymbol w:val="."/>
  <w:listSeparator w:val=","/>
  <w14:docId w14:val="7584FFF7"/>
  <w15:chartTrackingRefBased/>
  <w15:docId w15:val="{03457123-9ED6-47DB-9054-AAB1EC02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241E"/>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NRUNDERLINED11">
    <w:name w:val="TNR UNDERLINED 11"/>
    <w:basedOn w:val="DefaultParagraphFont"/>
    <w:uiPriority w:val="1"/>
    <w:rsid w:val="00DF1C5E"/>
    <w:rPr>
      <w:rFonts w:ascii="Times New Roman" w:hAnsi="Times New Roman"/>
      <w:sz w:val="22"/>
      <w:u w:val="single"/>
    </w:rPr>
  </w:style>
  <w:style w:type="paragraph" w:customStyle="1" w:styleId="Tariff">
    <w:name w:val="Tariff"/>
    <w:basedOn w:val="Normal"/>
    <w:uiPriority w:val="99"/>
    <w:rsid w:val="004F241E"/>
    <w:rPr>
      <w:rFonts w:ascii="Verdana" w:hAnsi="Verdana"/>
    </w:rPr>
  </w:style>
  <w:style w:type="character" w:styleId="Hyperlink">
    <w:name w:val="Hyperlink"/>
    <w:uiPriority w:val="99"/>
    <w:unhideWhenUsed/>
    <w:rsid w:val="004F241E"/>
    <w:rPr>
      <w:rFonts w:ascii="Times New Roman" w:hAnsi="Times New Roman"/>
      <w:color w:val="0000FF"/>
      <w:u w:val="single"/>
    </w:rPr>
  </w:style>
  <w:style w:type="paragraph" w:styleId="Header">
    <w:name w:val="header"/>
    <w:basedOn w:val="Normal"/>
    <w:link w:val="HeaderChar"/>
    <w:uiPriority w:val="99"/>
    <w:unhideWhenUsed/>
    <w:rsid w:val="004F241E"/>
    <w:pPr>
      <w:tabs>
        <w:tab w:val="center" w:pos="4680"/>
        <w:tab w:val="right" w:pos="9360"/>
      </w:tabs>
    </w:pPr>
  </w:style>
  <w:style w:type="character" w:customStyle="1" w:styleId="HeaderChar">
    <w:name w:val="Header Char"/>
    <w:basedOn w:val="DefaultParagraphFont"/>
    <w:link w:val="Header"/>
    <w:uiPriority w:val="99"/>
    <w:rsid w:val="004F241E"/>
    <w:rPr>
      <w:rFonts w:ascii="Times New Roman" w:eastAsia="Times New Roman" w:hAnsi="Times New Roman" w:cs="Times New Roman"/>
      <w:sz w:val="20"/>
      <w:szCs w:val="24"/>
    </w:rPr>
  </w:style>
  <w:style w:type="paragraph" w:styleId="Footer">
    <w:name w:val="footer"/>
    <w:basedOn w:val="Normal"/>
    <w:link w:val="FooterChar"/>
    <w:unhideWhenUsed/>
    <w:rsid w:val="004F241E"/>
    <w:pPr>
      <w:tabs>
        <w:tab w:val="center" w:pos="4680"/>
        <w:tab w:val="right" w:pos="9360"/>
      </w:tabs>
    </w:pPr>
  </w:style>
  <w:style w:type="character" w:customStyle="1" w:styleId="FooterChar">
    <w:name w:val="Footer Char"/>
    <w:basedOn w:val="DefaultParagraphFont"/>
    <w:link w:val="Footer"/>
    <w:rsid w:val="004F241E"/>
    <w:rPr>
      <w:rFonts w:ascii="Times New Roman" w:eastAsia="Times New Roman" w:hAnsi="Times New Roman" w:cs="Times New Roman"/>
      <w:sz w:val="20"/>
      <w:szCs w:val="24"/>
    </w:rPr>
  </w:style>
  <w:style w:type="character" w:styleId="PlaceholderText">
    <w:name w:val="Placeholder Text"/>
    <w:basedOn w:val="DefaultParagraphFont"/>
    <w:uiPriority w:val="99"/>
    <w:semiHidden/>
    <w:rsid w:val="004F241E"/>
    <w:rPr>
      <w:color w:val="808080"/>
    </w:rPr>
  </w:style>
  <w:style w:type="character" w:customStyle="1" w:styleId="Style17">
    <w:name w:val="Style17"/>
    <w:basedOn w:val="DefaultParagraphFont"/>
    <w:uiPriority w:val="1"/>
    <w:rsid w:val="004F241E"/>
    <w:rPr>
      <w:rFonts w:ascii="Tahoma" w:hAnsi="Tahoma"/>
      <w:sz w:val="20"/>
      <w:u w:val="single"/>
    </w:rPr>
  </w:style>
  <w:style w:type="character" w:customStyle="1" w:styleId="Style21">
    <w:name w:val="Style21"/>
    <w:basedOn w:val="DefaultParagraphFont"/>
    <w:uiPriority w:val="1"/>
    <w:rsid w:val="004F241E"/>
    <w:rPr>
      <w:rFonts w:ascii="Times New Roman" w:hAnsi="Times New Roman"/>
      <w:sz w:val="20"/>
    </w:rPr>
  </w:style>
  <w:style w:type="character" w:customStyle="1" w:styleId="TimesNewRoman10">
    <w:name w:val="Times New Roman 10"/>
    <w:basedOn w:val="DefaultParagraphFont"/>
    <w:uiPriority w:val="1"/>
    <w:rsid w:val="004F241E"/>
    <w:rPr>
      <w:rFonts w:ascii="Times New Roman" w:hAnsi="Times New Roman"/>
      <w:sz w:val="20"/>
      <w:u w:val="none"/>
    </w:rPr>
  </w:style>
  <w:style w:type="character" w:customStyle="1" w:styleId="TimesNewRomanUnderlined11">
    <w:name w:val="Times New Roman Underlined 11"/>
    <w:basedOn w:val="DefaultParagraphFont"/>
    <w:uiPriority w:val="1"/>
    <w:rsid w:val="004F241E"/>
    <w:rPr>
      <w:rFonts w:ascii="Times New Roman" w:hAnsi="Times New Roman"/>
      <w:sz w:val="22"/>
      <w:u w:val="single"/>
    </w:rPr>
  </w:style>
  <w:style w:type="character" w:customStyle="1" w:styleId="TimesNewRoman11">
    <w:name w:val="Times New Roman 11"/>
    <w:basedOn w:val="DefaultParagraphFont"/>
    <w:uiPriority w:val="1"/>
    <w:rsid w:val="004F241E"/>
    <w:rPr>
      <w:rFonts w:ascii="Times New Roman" w:hAnsi="Times New Roman"/>
      <w:sz w:val="22"/>
    </w:rPr>
  </w:style>
  <w:style w:type="character" w:styleId="PageNumber">
    <w:name w:val="page number"/>
    <w:basedOn w:val="DefaultParagraphFont"/>
    <w:rsid w:val="004F241E"/>
  </w:style>
  <w:style w:type="character" w:customStyle="1" w:styleId="Style7">
    <w:name w:val="Style7"/>
    <w:basedOn w:val="DefaultParagraphFont"/>
    <w:uiPriority w:val="1"/>
    <w:rsid w:val="004F241E"/>
    <w:rPr>
      <w:rFonts w:ascii="Verdana" w:hAnsi="Verdana"/>
      <w:sz w:val="20"/>
      <w:u w:val="single"/>
    </w:rPr>
  </w:style>
  <w:style w:type="paragraph" w:styleId="BalloonText">
    <w:name w:val="Balloon Text"/>
    <w:basedOn w:val="Normal"/>
    <w:link w:val="BalloonTextChar"/>
    <w:uiPriority w:val="99"/>
    <w:semiHidden/>
    <w:unhideWhenUsed/>
    <w:rsid w:val="00587E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E68"/>
    <w:rPr>
      <w:rFonts w:ascii="Segoe UI" w:eastAsia="Times New Roman" w:hAnsi="Segoe UI" w:cs="Segoe UI"/>
      <w:sz w:val="18"/>
      <w:szCs w:val="18"/>
    </w:rPr>
  </w:style>
  <w:style w:type="paragraph" w:styleId="ListParagraph">
    <w:name w:val="List Paragraph"/>
    <w:basedOn w:val="Normal"/>
    <w:uiPriority w:val="34"/>
    <w:qFormat/>
    <w:rsid w:val="00276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82869-1781-421B-AA41-48333BA5D5EB}">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E03D492-33B5-47EE-BDD3-0861A36FE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Tami</dc:creator>
  <cp:keywords/>
  <dc:description/>
  <cp:lastModifiedBy>Miller, Tami</cp:lastModifiedBy>
  <cp:revision>2</cp:revision>
  <cp:lastPrinted>2017-10-16T14:27:00Z</cp:lastPrinted>
  <dcterms:created xsi:type="dcterms:W3CDTF">2017-12-29T15:23:00Z</dcterms:created>
  <dcterms:modified xsi:type="dcterms:W3CDTF">2017-12-29T15:23:00Z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file://colkwinstalls1/APPS/Mojo/TIGT Master PALS/TIGT Master PALS.vsto|3568ac75-7d48-4b40-8264-20a2ed642a55</vt:lpwstr>
  </property>
  <property fmtid="{D5CDD505-2E9C-101B-9397-08002B2CF9AE}" pid="3" name="_AssemblyName">
    <vt:lpwstr>4E3C66D5-58D4-491E-A7D4-64AF99AF6E8B</vt:lpwstr>
  </property>
</Properties>
</file>